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5C23F7" w:rsidP="005C23F7">
      <w:pPr>
        <w:spacing w:line="480" w:lineRule="auto"/>
        <w:jc w:val="center"/>
      </w:pPr>
    </w:p>
    <w:p w:rsidR="005C23F7" w:rsidRDefault="00AB0590" w:rsidP="005C23F7">
      <w:pPr>
        <w:spacing w:line="480" w:lineRule="auto"/>
        <w:jc w:val="center"/>
      </w:pPr>
      <w:r>
        <w:t xml:space="preserve">Article Critique </w:t>
      </w:r>
    </w:p>
    <w:p w:rsidR="005C23F7" w:rsidRDefault="00AB0590" w:rsidP="005C23F7">
      <w:pPr>
        <w:spacing w:line="480" w:lineRule="auto"/>
        <w:jc w:val="center"/>
      </w:pPr>
      <w:r>
        <w:t xml:space="preserve">Name </w:t>
      </w:r>
    </w:p>
    <w:p w:rsidR="005C23F7" w:rsidRDefault="00AB0590" w:rsidP="005C23F7">
      <w:pPr>
        <w:spacing w:line="480" w:lineRule="auto"/>
        <w:jc w:val="center"/>
      </w:pPr>
      <w:r>
        <w:t xml:space="preserve">Date </w:t>
      </w:r>
    </w:p>
    <w:p w:rsidR="005C23F7" w:rsidRDefault="00AB0590" w:rsidP="005C23F7">
      <w:pPr>
        <w:spacing w:line="480" w:lineRule="auto"/>
        <w:jc w:val="center"/>
      </w:pPr>
      <w:r>
        <w:t xml:space="preserve">Institution </w:t>
      </w:r>
    </w:p>
    <w:p w:rsidR="005C23F7" w:rsidRDefault="005C23F7" w:rsidP="00027000">
      <w:pPr>
        <w:spacing w:line="480" w:lineRule="auto"/>
      </w:pPr>
    </w:p>
    <w:p w:rsidR="008D5014" w:rsidRDefault="008D5014" w:rsidP="008D5014">
      <w:pPr>
        <w:spacing w:line="480" w:lineRule="auto"/>
        <w:ind w:left="720" w:hanging="720"/>
        <w:jc w:val="center"/>
      </w:pPr>
      <w:r>
        <w:lastRenderedPageBreak/>
        <w:t>Article Critique</w:t>
      </w:r>
    </w:p>
    <w:p w:rsidR="006C43B9" w:rsidRPr="008D5014" w:rsidRDefault="008D5014" w:rsidP="008D5014">
      <w:pPr>
        <w:spacing w:line="480" w:lineRule="auto"/>
        <w:ind w:left="720" w:hanging="720"/>
        <w:rPr>
          <w:rFonts w:eastAsia="Times New Roman"/>
          <w:szCs w:val="24"/>
        </w:rPr>
      </w:pPr>
      <w:r w:rsidRPr="00451929">
        <w:rPr>
          <w:rFonts w:eastAsia="Times New Roman"/>
          <w:szCs w:val="24"/>
        </w:rPr>
        <w:t>Ad</w:t>
      </w:r>
      <w:r>
        <w:rPr>
          <w:rFonts w:eastAsia="Times New Roman"/>
          <w:szCs w:val="24"/>
        </w:rPr>
        <w:t>ams, J. &amp; Rohring, P. (2004). Best p</w:t>
      </w:r>
      <w:r w:rsidRPr="00451929">
        <w:rPr>
          <w:rFonts w:eastAsia="Times New Roman"/>
          <w:szCs w:val="24"/>
        </w:rPr>
        <w:t xml:space="preserve">ractices when communicating with Deaf and Hard of Hearing People. Handbook to service the Deaf and Hard of Hearing. Retrieved from </w:t>
      </w:r>
      <w:hyperlink r:id="rId6" w:history="1">
        <w:r w:rsidRPr="00A645CA">
          <w:rPr>
            <w:rStyle w:val="Hyperlink"/>
            <w:rFonts w:eastAsia="Times New Roman"/>
            <w:szCs w:val="24"/>
          </w:rPr>
          <w:t>https://disabilitynavigator.org/article/12329/tips-communicating-deaf-and-hard-hearing-people%20%20</w:t>
        </w:r>
      </w:hyperlink>
    </w:p>
    <w:p w:rsidR="004D6A18" w:rsidRDefault="008D5014" w:rsidP="008D5014">
      <w:pPr>
        <w:spacing w:line="480" w:lineRule="auto"/>
        <w:ind w:firstLine="720"/>
      </w:pPr>
      <w:r>
        <w:t>The article is very relevant as it asserts that l</w:t>
      </w:r>
      <w:r w:rsidR="00AB0590">
        <w:t>iving with the deaf is a real encounter because the existing research confirms that approximately 28 million people experience various types of hearing impairment ranging from profound to mild</w:t>
      </w:r>
      <w:r>
        <w:t xml:space="preserve"> </w:t>
      </w:r>
      <w:r w:rsidR="005C23F7">
        <w:rPr>
          <w:rFonts w:eastAsia="Times New Roman"/>
          <w:szCs w:val="24"/>
        </w:rPr>
        <w:t>(</w:t>
      </w:r>
      <w:r w:rsidR="005C23F7" w:rsidRPr="00451929">
        <w:rPr>
          <w:rFonts w:eastAsia="Times New Roman"/>
          <w:szCs w:val="24"/>
        </w:rPr>
        <w:t>Ad</w:t>
      </w:r>
      <w:r w:rsidR="005C23F7">
        <w:rPr>
          <w:rFonts w:eastAsia="Times New Roman"/>
          <w:szCs w:val="24"/>
        </w:rPr>
        <w:t>ams &amp; Rohring, 2004)</w:t>
      </w:r>
      <w:r w:rsidR="00AB0590">
        <w:t>. The fact that people suffer from the unfortunate disease does not hinder them in exploring the world’s fantasy in addition to being successful</w:t>
      </w:r>
      <w:r w:rsidR="001D235D">
        <w:t xml:space="preserve">. For instance, they have families, travel worldwide, shape their successful careers, and watch movies and televisions. </w:t>
      </w:r>
      <w:r w:rsidR="00C7134D">
        <w:t>These persons</w:t>
      </w:r>
      <w:r w:rsidR="001D235D">
        <w:t xml:space="preserve"> share the experience with others, and it has come to be part of life.  </w:t>
      </w:r>
    </w:p>
    <w:p w:rsidR="00BA02E0" w:rsidRDefault="008D5014" w:rsidP="005C23F7">
      <w:pPr>
        <w:spacing w:line="480" w:lineRule="auto"/>
        <w:ind w:firstLine="720"/>
      </w:pPr>
      <w:r>
        <w:t>As hinted, it is true that the</w:t>
      </w:r>
      <w:r w:rsidR="00AB0590">
        <w:t xml:space="preserve"> American state has been employing cultural activities purposely to promote the communication</w:t>
      </w:r>
      <w:r w:rsidR="00866FF1">
        <w:t xml:space="preserve"> process</w:t>
      </w:r>
      <w:r w:rsidR="00AB0590">
        <w:t xml:space="preserve"> with the deaf. Among the activities includes, use of American Sign Language while communicating and providing information about materials that can aid in boosting the wellbeing of the deaf</w:t>
      </w:r>
      <w:r w:rsidR="005C23F7">
        <w:rPr>
          <w:rFonts w:eastAsia="Times New Roman"/>
          <w:szCs w:val="24"/>
        </w:rPr>
        <w:t>(</w:t>
      </w:r>
      <w:r w:rsidR="005C23F7" w:rsidRPr="00451929">
        <w:rPr>
          <w:rFonts w:eastAsia="Times New Roman"/>
          <w:szCs w:val="24"/>
        </w:rPr>
        <w:t>Ad</w:t>
      </w:r>
      <w:r w:rsidR="005C23F7">
        <w:rPr>
          <w:rFonts w:eastAsia="Times New Roman"/>
          <w:szCs w:val="24"/>
        </w:rPr>
        <w:t>ams &amp; Rohring, 2004)</w:t>
      </w:r>
      <w:r w:rsidR="00AB0590">
        <w:t>. Importantly, the mode of communication for the deaf depends on various aspects, including age, language skills, level of deafness, personality, and family environment. It is through the article that we can learn the different techniques to apply when comm</w:t>
      </w:r>
      <w:r w:rsidR="00E27F6D">
        <w:t xml:space="preserve">unicating with deaf in different occasions like; </w:t>
      </w:r>
      <w:r w:rsidR="00AB0590">
        <w:t>when in a group, face to face, through an interpreter, on the telephone, and what a few.</w:t>
      </w:r>
    </w:p>
    <w:p w:rsidR="008D5014" w:rsidRDefault="00AB0590" w:rsidP="008D5014">
      <w:pPr>
        <w:spacing w:line="480" w:lineRule="auto"/>
        <w:ind w:firstLine="720"/>
      </w:pPr>
      <w:r>
        <w:lastRenderedPageBreak/>
        <w:t xml:space="preserve">The article provides different types of hearing loss, including conductive and sensor neural loss. It </w:t>
      </w:r>
      <w:r w:rsidR="00C7134D">
        <w:t>also identifies</w:t>
      </w:r>
      <w:r w:rsidR="008D5014">
        <w:t xml:space="preserve"> </w:t>
      </w:r>
      <w:r w:rsidR="00C7134D">
        <w:t xml:space="preserve">various </w:t>
      </w:r>
      <w:r w:rsidR="00866FF1">
        <w:t xml:space="preserve">means of communicating with deaf: </w:t>
      </w:r>
      <w:r>
        <w:t>for instance, American Sign Language (ASL)</w:t>
      </w:r>
      <w:r w:rsidR="00C7134D">
        <w:t xml:space="preserve">, </w:t>
      </w:r>
      <w:r w:rsidR="008D5014">
        <w:t>finger spelling</w:t>
      </w:r>
      <w:r w:rsidR="00C7134D">
        <w:t>, oral com</w:t>
      </w:r>
      <w:r>
        <w:t>munication, cued speech, and manual commutation.</w:t>
      </w:r>
      <w:r w:rsidR="00C7134D">
        <w:t xml:space="preserve"> It </w:t>
      </w:r>
      <w:r w:rsidR="00866FF1">
        <w:t>has as well included</w:t>
      </w:r>
      <w:r w:rsidR="00C7134D">
        <w:t xml:space="preserve"> the means of interpreting</w:t>
      </w:r>
      <w:r w:rsidR="00E27F6D">
        <w:t xml:space="preserve"> language;</w:t>
      </w:r>
      <w:r w:rsidR="00C7134D">
        <w:t xml:space="preserve"> oral</w:t>
      </w:r>
      <w:r w:rsidR="00866FF1">
        <w:t xml:space="preserve"> and sign language interpretation</w:t>
      </w:r>
      <w:r w:rsidR="00C7134D">
        <w:t xml:space="preserve">.  </w:t>
      </w:r>
    </w:p>
    <w:p w:rsidR="00866FF1" w:rsidRDefault="00D87025" w:rsidP="008D5014">
      <w:pPr>
        <w:spacing w:line="480" w:lineRule="auto"/>
        <w:ind w:firstLine="720"/>
      </w:pPr>
      <w:r>
        <w:t xml:space="preserve">There </w:t>
      </w:r>
      <w:r w:rsidR="001C3D6E">
        <w:t>are various</w:t>
      </w:r>
      <w:r>
        <w:t xml:space="preserve"> difficulties one would expect to see in a class</w:t>
      </w:r>
      <w:r w:rsidR="00E27F6D">
        <w:t>room</w:t>
      </w:r>
      <w:r>
        <w:t xml:space="preserve"> setting. One of them is that instructor </w:t>
      </w:r>
      <w:r w:rsidR="00AB0590">
        <w:t xml:space="preserve">will be required to provide the meaning of compound words in advance. </w:t>
      </w:r>
      <w:r w:rsidR="005C23F7">
        <w:t>Again, t</w:t>
      </w:r>
      <w:r w:rsidR="00AB0590">
        <w:t>he lessons must be blended with a visual aid to boost understanding</w:t>
      </w:r>
      <w:r w:rsidR="008D5014">
        <w:t xml:space="preserve"> of the learners </w:t>
      </w:r>
      <w:r w:rsidR="005C23F7">
        <w:rPr>
          <w:rFonts w:eastAsia="Times New Roman"/>
          <w:szCs w:val="24"/>
        </w:rPr>
        <w:t>(</w:t>
      </w:r>
      <w:r w:rsidR="005C23F7" w:rsidRPr="00451929">
        <w:rPr>
          <w:rFonts w:eastAsia="Times New Roman"/>
          <w:szCs w:val="24"/>
        </w:rPr>
        <w:t>Ad</w:t>
      </w:r>
      <w:r w:rsidR="005C23F7">
        <w:rPr>
          <w:rFonts w:eastAsia="Times New Roman"/>
          <w:szCs w:val="24"/>
        </w:rPr>
        <w:t>ams &amp; Rohring, 2004).</w:t>
      </w:r>
      <w:r w:rsidR="005C23F7">
        <w:t>Notably, t</w:t>
      </w:r>
      <w:r w:rsidR="00AB0590">
        <w:t>he c</w:t>
      </w:r>
      <w:r w:rsidR="008D5014">
        <w:t>ommunication pace should manageable for everyone to grasp the content.</w:t>
      </w:r>
      <w:r w:rsidR="00AB0590">
        <w:t xml:space="preserve"> </w:t>
      </w:r>
      <w:r w:rsidR="008D5014">
        <w:t>Also, r</w:t>
      </w:r>
      <w:r w:rsidR="00AB0590">
        <w:t>epetitions of question and use of an interpreter a</w:t>
      </w:r>
      <w:r w:rsidR="00E27F6D">
        <w:t>re other challenges because the process becomes monotonous yet</w:t>
      </w:r>
      <w:r w:rsidR="00AB0590">
        <w:t xml:space="preserve"> expensive to facilitate.  </w:t>
      </w: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5C23F7">
      <w:pPr>
        <w:spacing w:line="480" w:lineRule="auto"/>
        <w:ind w:firstLine="720"/>
        <w:jc w:val="center"/>
      </w:pPr>
    </w:p>
    <w:p w:rsidR="005C23F7" w:rsidRDefault="005C23F7" w:rsidP="008D5014">
      <w:pPr>
        <w:spacing w:line="480" w:lineRule="auto"/>
      </w:pPr>
    </w:p>
    <w:p w:rsidR="005C23F7" w:rsidRDefault="005C23F7" w:rsidP="00E27F6D">
      <w:pPr>
        <w:spacing w:line="480" w:lineRule="auto"/>
      </w:pPr>
      <w:bookmarkStart w:id="0" w:name="_GoBack"/>
      <w:bookmarkEnd w:id="0"/>
    </w:p>
    <w:p w:rsidR="00C7134D" w:rsidRDefault="00AB0590" w:rsidP="005C23F7">
      <w:pPr>
        <w:spacing w:line="480" w:lineRule="auto"/>
        <w:ind w:firstLine="720"/>
        <w:jc w:val="center"/>
      </w:pPr>
      <w:r>
        <w:lastRenderedPageBreak/>
        <w:t>Reference</w:t>
      </w:r>
    </w:p>
    <w:p w:rsidR="005C23F7" w:rsidRDefault="00AB0590" w:rsidP="005C23F7">
      <w:pPr>
        <w:spacing w:line="480" w:lineRule="auto"/>
        <w:rPr>
          <w:rFonts w:eastAsia="Times New Roman"/>
          <w:szCs w:val="24"/>
        </w:rPr>
      </w:pPr>
      <w:r w:rsidRPr="00451929">
        <w:rPr>
          <w:rFonts w:eastAsia="Times New Roman"/>
          <w:szCs w:val="24"/>
        </w:rPr>
        <w:t>Ad</w:t>
      </w:r>
      <w:r>
        <w:rPr>
          <w:rFonts w:eastAsia="Times New Roman"/>
          <w:szCs w:val="24"/>
        </w:rPr>
        <w:t>ams, J. &amp; Rohring, P. (2004). Best p</w:t>
      </w:r>
      <w:r w:rsidRPr="00451929">
        <w:rPr>
          <w:rFonts w:eastAsia="Times New Roman"/>
          <w:szCs w:val="24"/>
        </w:rPr>
        <w:t xml:space="preserve">ractices when communicating with Deaf and Hard of </w:t>
      </w:r>
    </w:p>
    <w:p w:rsidR="00866FF1" w:rsidRPr="005C23F7" w:rsidRDefault="00AB0590" w:rsidP="005C23F7">
      <w:pPr>
        <w:spacing w:line="480" w:lineRule="auto"/>
        <w:ind w:left="720"/>
        <w:rPr>
          <w:rFonts w:eastAsia="Times New Roman"/>
          <w:szCs w:val="24"/>
        </w:rPr>
      </w:pPr>
      <w:r w:rsidRPr="00451929">
        <w:rPr>
          <w:rFonts w:eastAsia="Times New Roman"/>
          <w:szCs w:val="24"/>
        </w:rPr>
        <w:t xml:space="preserve">Hearing People. Handbook to service the Deaf and Hard of Hearing. Retrieved from </w:t>
      </w:r>
      <w:hyperlink r:id="rId7" w:history="1">
        <w:r w:rsidRPr="00A645CA">
          <w:rPr>
            <w:rStyle w:val="Hyperlink"/>
            <w:rFonts w:eastAsia="Times New Roman"/>
            <w:szCs w:val="24"/>
          </w:rPr>
          <w:t>https://disabilitynavigator.org/article/12329/tips-communicating-deaf-and-hard-hearing-people%20%20</w:t>
        </w:r>
      </w:hyperlink>
    </w:p>
    <w:sectPr w:rsidR="00866FF1" w:rsidRPr="005C23F7" w:rsidSect="005C23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AC5" w:rsidRDefault="00A64AC5">
      <w:pPr>
        <w:spacing w:after="0" w:line="240" w:lineRule="auto"/>
      </w:pPr>
      <w:r>
        <w:separator/>
      </w:r>
    </w:p>
  </w:endnote>
  <w:endnote w:type="continuationSeparator" w:id="1">
    <w:p w:rsidR="00A64AC5" w:rsidRDefault="00A64A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AC5" w:rsidRDefault="00A64AC5">
      <w:pPr>
        <w:spacing w:after="0" w:line="240" w:lineRule="auto"/>
      </w:pPr>
      <w:r>
        <w:separator/>
      </w:r>
    </w:p>
  </w:footnote>
  <w:footnote w:type="continuationSeparator" w:id="1">
    <w:p w:rsidR="00A64AC5" w:rsidRDefault="00A64A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95638"/>
      <w:docPartObj>
        <w:docPartGallery w:val="Page Numbers (Top of Page)"/>
        <w:docPartUnique/>
      </w:docPartObj>
    </w:sdtPr>
    <w:sdtEndPr>
      <w:rPr>
        <w:noProof/>
      </w:rPr>
    </w:sdtEndPr>
    <w:sdtContent>
      <w:p w:rsidR="005C23F7" w:rsidRDefault="00AB0590" w:rsidP="005C23F7">
        <w:pPr>
          <w:pStyle w:val="Header"/>
        </w:pPr>
        <w:r>
          <w:t xml:space="preserve"> ARTICLE CRITIQUE               </w:t>
        </w:r>
        <w:r w:rsidR="008D5014">
          <w:t xml:space="preserve">                                                                                          </w:t>
        </w:r>
        <w:r>
          <w:t xml:space="preserve"> </w:t>
        </w:r>
        <w:r w:rsidR="00D01098">
          <w:fldChar w:fldCharType="begin"/>
        </w:r>
        <w:r>
          <w:instrText xml:space="preserve"> PAGE   \* MERGEFORMAT </w:instrText>
        </w:r>
        <w:r w:rsidR="00D01098">
          <w:fldChar w:fldCharType="separate"/>
        </w:r>
        <w:r w:rsidR="00DA7F78">
          <w:rPr>
            <w:noProof/>
          </w:rPr>
          <w:t>4</w:t>
        </w:r>
        <w:r w:rsidR="00D01098">
          <w:rPr>
            <w:noProof/>
          </w:rPr>
          <w:fldChar w:fldCharType="end"/>
        </w:r>
      </w:p>
    </w:sdtContent>
  </w:sdt>
  <w:p w:rsidR="005C23F7" w:rsidRDefault="005C23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4609154"/>
      <w:docPartObj>
        <w:docPartGallery w:val="Page Numbers (Top of Page)"/>
        <w:docPartUnique/>
      </w:docPartObj>
    </w:sdtPr>
    <w:sdtEndPr>
      <w:rPr>
        <w:noProof/>
      </w:rPr>
    </w:sdtEndPr>
    <w:sdtContent>
      <w:p w:rsidR="005C23F7" w:rsidRDefault="00AB0590" w:rsidP="005C23F7">
        <w:pPr>
          <w:pStyle w:val="Header"/>
        </w:pPr>
        <w:r>
          <w:t xml:space="preserve"> Running head: </w:t>
        </w:r>
        <w:r w:rsidR="00DC08F2">
          <w:t xml:space="preserve">ARTICLE CRITIQUE                                                                                    </w:t>
        </w:r>
        <w:r w:rsidR="00D01098">
          <w:fldChar w:fldCharType="begin"/>
        </w:r>
        <w:r>
          <w:instrText xml:space="preserve"> PAGE   \* MERGEFORMAT </w:instrText>
        </w:r>
        <w:r w:rsidR="00D01098">
          <w:fldChar w:fldCharType="separate"/>
        </w:r>
        <w:r w:rsidR="00DA7F78">
          <w:rPr>
            <w:noProof/>
          </w:rPr>
          <w:t>1</w:t>
        </w:r>
        <w:r w:rsidR="00D01098">
          <w:rPr>
            <w:noProof/>
          </w:rPr>
          <w:fldChar w:fldCharType="end"/>
        </w:r>
      </w:p>
    </w:sdtContent>
  </w:sdt>
  <w:p w:rsidR="005C23F7" w:rsidRDefault="005C23F7" w:rsidP="005C23F7">
    <w:pPr>
      <w:pStyle w:val="Header"/>
    </w:pPr>
  </w:p>
  <w:p w:rsidR="005C23F7" w:rsidRDefault="005C23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22C2"/>
    <w:rsid w:val="00027000"/>
    <w:rsid w:val="000D4B8C"/>
    <w:rsid w:val="001522C2"/>
    <w:rsid w:val="001C3D6E"/>
    <w:rsid w:val="001D235D"/>
    <w:rsid w:val="001E2C46"/>
    <w:rsid w:val="002F0944"/>
    <w:rsid w:val="0033699B"/>
    <w:rsid w:val="00451929"/>
    <w:rsid w:val="004D6A18"/>
    <w:rsid w:val="005C23F7"/>
    <w:rsid w:val="006C43B9"/>
    <w:rsid w:val="00866FF1"/>
    <w:rsid w:val="008D5014"/>
    <w:rsid w:val="00A645CA"/>
    <w:rsid w:val="00A64AC5"/>
    <w:rsid w:val="00AB0590"/>
    <w:rsid w:val="00B01364"/>
    <w:rsid w:val="00B933B7"/>
    <w:rsid w:val="00BA02E0"/>
    <w:rsid w:val="00C7134D"/>
    <w:rsid w:val="00D01098"/>
    <w:rsid w:val="00D87025"/>
    <w:rsid w:val="00DA7F78"/>
    <w:rsid w:val="00DC08F2"/>
    <w:rsid w:val="00E27F6D"/>
    <w:rsid w:val="00F70D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9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FF1"/>
    <w:rPr>
      <w:color w:val="0563C1" w:themeColor="hyperlink"/>
      <w:u w:val="single"/>
    </w:rPr>
  </w:style>
  <w:style w:type="character" w:styleId="FollowedHyperlink">
    <w:name w:val="FollowedHyperlink"/>
    <w:basedOn w:val="DefaultParagraphFont"/>
    <w:uiPriority w:val="99"/>
    <w:semiHidden/>
    <w:unhideWhenUsed/>
    <w:rsid w:val="00866FF1"/>
    <w:rPr>
      <w:color w:val="954F72" w:themeColor="followedHyperlink"/>
      <w:u w:val="single"/>
    </w:rPr>
  </w:style>
  <w:style w:type="paragraph" w:styleId="Header">
    <w:name w:val="header"/>
    <w:basedOn w:val="Normal"/>
    <w:link w:val="HeaderChar"/>
    <w:uiPriority w:val="99"/>
    <w:unhideWhenUsed/>
    <w:rsid w:val="005C2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3F7"/>
  </w:style>
  <w:style w:type="paragraph" w:styleId="Footer">
    <w:name w:val="footer"/>
    <w:basedOn w:val="Normal"/>
    <w:link w:val="FooterChar"/>
    <w:uiPriority w:val="99"/>
    <w:unhideWhenUsed/>
    <w:rsid w:val="005C2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3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isabilitynavigator.org/article/12329/tips-communicating-deaf-and-hard-hearing-people%20%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abilitynavigator.org/article/12329/tips-communicating-deaf-and-hard-hearing-people%20%2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2020-02-04T19:23:00Z</dcterms:created>
  <dcterms:modified xsi:type="dcterms:W3CDTF">2020-02-04T19:23:00Z</dcterms:modified>
</cp:coreProperties>
</file>